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Missouri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Missouri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 in Missouri: </w:t>
      </w:r>
      <w:r>
        <w:rPr>
          <w:sz w:val="19"/>
        </w:rPr>
        <w:t xml:space="preserve">Local governments also may not require landlords to accept housing assistance as income, restrict a landlord's screening criteria, limit security deposits or require tenant rights of first refusal. (RSMo 441.043)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rules: </w:t>
      </w:r>
      <w:r>
        <w:rPr>
          <w:sz w:val="19"/>
        </w:rPr>
        <w:t xml:space="preserve">________ (check the rule in Missouri)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Missouri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Missouri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Missouri: </w:t>
      </w:r>
      <w:r>
        <w:rPr>
          <w:sz w:val="19"/>
        </w:rPr>
        <w:t xml:space="preserve">Within 30 days after the tenancy ends, the landlord must return the full deposit or send an itemized list of damages with the balance. (RSMo 535.300)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Missouri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Missouri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Missouri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Missouri Lease Non-Renewal Letter</dc:title>
  <dc:creator>TenantLoop</dc:creator>
</cp:coreProperties>
</file>