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Normal Wear and Tear vs. Damage Checklist</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Michigan: </w:t>
      </w:r>
      <w:r>
        <w:rPr>
          <w:sz w:val="19"/>
        </w:rPr>
        <w:t xml:space="preserve">The list must show each claimed damage with its estimated repair cost and include a bold statement that the tenant must respond by mail within 7 days or lose the amount claimed; damage noted on the move in checklist cannot be charged. (MCL 554.609)</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Normal Wear and Tear vs. Damage Checklist</dc:title>
  <dc:creator>TenantLoop</dc:creator>
</cp:coreProperties>
</file>