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Rent Increase Letter</w:t>
      </w:r>
    </w:p>
    <w:p>
      <w:pPr>
        <w:spacing w:before="0" w:after="240"/>
      </w:pPr>
      <w:r>
        <w:rPr>
          <w:color w:val="555555"/>
          <w:sz w:val="22"/>
        </w:rPr>
        <w:t xml:space="preserve">General template, not legal advice. Have a Michigan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Michigan)</w:t>
      </w:r>
    </w:p>
    <w:p>
      <w:pPr>
        <w:pBdr>
          <w:left w:val="single" w:sz="18" w:space="8" w:color="1F3D2B"/>
        </w:pBdr>
        <w:shd w:val="clear" w:color="auto" w:fill="F2F2F2"/>
        <w:spacing w:before="0" w:after="160"/>
        <w:ind w:left="120"/>
      </w:pPr>
      <w:r>
        <w:rPr>
          <w:b/>
          <w:sz w:val="19"/>
        </w:rPr>
        <w:t xml:space="preserve">Rent control or caps in Michigan: </w:t>
      </w:r>
      <w:r>
        <w:rPr>
          <w:sz w:val="19"/>
        </w:rPr>
        <w:t xml:space="preserve">Local governments in Michigan may not enact, maintain or enforce any ordinance that controls the rent charged for private residential property. (MCL 123.411)</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Rent Increase Letter</dc:title>
  <dc:creator>TenantLoop</dc:creator>
</cp:coreProperties>
</file>