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Michigan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Michigan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Michigan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Michigan: </w:t>
      </w:r>
      <w:r>
        <w:rPr>
          <w:sz w:val="19"/>
        </w:rPr>
        <w:t xml:space="preserve">Either side can end a month to month tenancy with one month of written notice. (MCL 554.134)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Michigan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Michigan: </w:t>
      </w:r>
      <w:r>
        <w:rPr>
          <w:sz w:val="19"/>
        </w:rPr>
        <w:t xml:space="preserve">Within 30 days after occupancy ends, the landlord must mail an itemized list of damages with a check or electronic payment for any balance. (MCL 554.609)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Michigan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Michigan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Michigan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Michigan Tenant Notice to Vacate</dc:title>
  <dc:creator>TenantLoop</dc:creator>
</cp:coreProperties>
</file>