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Month-to-Month Rental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Michigan.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Michigan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Michigan: </w:t>
      </w:r>
      <w:r>
        <w:rPr>
          <w:sz w:val="19"/>
        </w:rPr>
        <w:t xml:space="preserve">Either side can end a month to month tenancy with one month of written notice. (MCL 554.134)</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Michigan)</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Michigan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Rent control in Michigan: </w:t>
      </w:r>
      <w:r>
        <w:rPr>
          <w:sz w:val="19"/>
        </w:rPr>
        <w:t xml:space="preserve">Local governments in Michigan may not enact, maintain or enforce any ordinance that controls the rent charged for private residential property. (MCL 123.411)</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Michigan law.</w:t>
      </w:r>
    </w:p>
    <w:p>
      <w:pPr>
        <w:pBdr>
          <w:left w:val="single" w:sz="18" w:space="8" w:color="1F3D2B"/>
        </w:pBdr>
        <w:shd w:val="clear" w:color="auto" w:fill="F2F2F2"/>
        <w:spacing w:before="0" w:after="160"/>
        <w:ind w:left="120"/>
      </w:pPr>
      <w:r>
        <w:rPr>
          <w:b/>
          <w:sz w:val="19"/>
        </w:rPr>
        <w:t xml:space="preserve">Deposit limit in Michigan: </w:t>
      </w:r>
      <w:r>
        <w:rPr>
          <w:sz w:val="19"/>
        </w:rPr>
        <w:t xml:space="preserve">A security deposit cannot exceed one and a half months of rent. (MCL 554.602)</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Michigan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Michigan)</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Michigan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Michigan: </w:t>
      </w:r>
      <w:r>
        <w:rPr>
          <w:sz w:val="19"/>
        </w:rPr>
        <w:t xml:space="preserve">For unpaid rent, the landlord serves a written 7 day demand for possession or notice to quit before filing. (MCL 600.5714 and MCL 554.134)</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Michigan: </w:t>
      </w:r>
      <w:r>
        <w:rPr>
          <w:sz w:val="19"/>
        </w:rPr>
        <w:t xml:space="preserve">Within 14 days after the tenant moves in, the landlord gives written notice of the landlord's address, where the deposit is held and the tenant's duty to give a forwarding address within 4 days of moving out, in the bold wording the statute requires. (MCL 554.603) The landlord provides move in and move out inventory checklists so the condition of the unit is recorded. (MCL 554.608) Leases must tell tenants about the right to end the lease early because of domestic violence, sexual assault or stalking, or the landlord must post or hand over that notice. (MCL 554.601b)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Month-to-Month Rental Agreement</dc:title>
  <dc:creator>TenantLoop</dc:creator>
</cp:coreProperties>
</file>