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Rental Application Denial and Adverse Action Notice</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Michigan: </w:t>
      </w:r>
      <w:r>
        <w:rPr>
          <w:sz w:val="19"/>
        </w:rPr>
        <w:t xml:space="preserve">Landlords with 5 or more units may not reject or treat applicants differently because of their source of income, and must count vouchers and subsidies when checking any income requirement. (MCL 554.601c)</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Rental Application Denial and Adverse Action Notice</dc:title>
  <dc:creator>TenantLoop</dc:creator>
</cp:coreProperties>
</file>