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Rental Application</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Massachusetts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Massachusetts: </w:t>
      </w:r>
      <w:r>
        <w:rPr>
          <w:sz w:val="19"/>
        </w:rPr>
        <w:t xml:space="preserve">Before or at the start of a tenancy a landlord may collect only first and last month's rent, a deposit up to one month and the cost of a lock and key, so separate application fees are not allowed. (G.L. c.186, section 15B)</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Massachusetts: </w:t>
      </w:r>
      <w:r>
        <w:rPr>
          <w:sz w:val="19"/>
        </w:rPr>
        <w:t xml:space="preserve">Landlords may not refuse to rent because an applicant receives public assistance or a housing subsidy, and they must follow state fair housing law and the rules for criminal record checks. (G.L. c.151B, section 4)</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Rental Application</dc:title>
  <dc:creator>TenantLoop</dc:creator>
</cp:coreProperties>
</file>