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Rent Payment Reminder Letter</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Massachusetts: </w:t>
      </w:r>
      <w:r>
        <w:rPr>
          <w:sz w:val="19"/>
        </w:rPr>
        <w:t xml:space="preserve">A lease cannot charge interest or a penalty for late rent until the rent is 30 days overdue. (G.L. c.186, section 15B)</w:t>
      </w:r>
    </w:p>
    <w:p>
      <w:pPr>
        <w:pBdr>
          <w:left w:val="single" w:sz="18" w:space="8" w:color="1F3D2B"/>
        </w:pBdr>
        <w:shd w:val="clear" w:color="auto" w:fill="F2F2F2"/>
        <w:spacing w:before="0" w:after="160"/>
        <w:ind w:left="120"/>
      </w:pPr>
      <w:r>
        <w:rPr>
          <w:b/>
          <w:sz w:val="19"/>
        </w:rPr>
        <w:t xml:space="preserve">Grace period in Massachusetts: </w:t>
      </w:r>
      <w:r>
        <w:rPr>
          <w:sz w:val="19"/>
        </w:rPr>
        <w:t xml:space="preserve">No late charge can apply during the first 30 days after rent is due. (G.L. c.186, section 15B)</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Massachusetts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Rent Payment Reminder Letter</dc:title>
  <dc:creator>TenantLoop</dc:creator>
</cp:coreProperties>
</file>