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Notice of Rent Increase</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Massachusetts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Massachusetts)</w:t>
      </w:r>
    </w:p>
    <w:p>
      <w:pPr>
        <w:pBdr>
          <w:left w:val="single" w:sz="18" w:space="8" w:color="1F3D2B"/>
        </w:pBdr>
        <w:shd w:val="clear" w:color="auto" w:fill="F2F2F2"/>
        <w:spacing w:before="0" w:after="160"/>
        <w:ind w:left="120"/>
      </w:pPr>
      <w:r>
        <w:rPr>
          <w:b/>
          <w:sz w:val="19"/>
        </w:rPr>
        <w:t xml:space="preserve">Statewide limit on increases in Massachusetts: </w:t>
      </w:r>
      <w:r>
        <w:rPr>
          <w:sz w:val="19"/>
        </w:rPr>
        <w:t xml:space="preserve">There is no statewide limit on rent increases. (G.L. c.40P)</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Massachusetts)</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Massachusetts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Notice of Rent Increase</dc:title>
  <dc:creator>TenantLoop</dc:creator>
</cp:coreProperties>
</file>