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Massachusetts: </w:t>
      </w:r>
      <w:r>
        <w:rPr>
          <w:sz w:val="19"/>
        </w:rPr>
        <w:t xml:space="preserve">Deductions for damage require an itemized list signed under the pains and penalties of perjury, with estimates, bills or receipts, sent within the same 30 days; damage noted on the move in condition statement cannot be charged. (G.L. c.186, section 15B)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Move-In Condition Checklist</dc:title>
  <dc:creator>TenantLoop</dc:creator>
</cp:coreProperties>
</file>