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Lease Termination Letter</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Massachusetts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Massachusetts: </w:t>
      </w:r>
      <w:r>
        <w:rPr>
          <w:sz w:val="19"/>
        </w:rPr>
        <w:t xml:space="preserve">Either side can end a month to month tenancy at will with written notice of one full rental period or 30 days, whichever is longer. (G.L. c.186, section 12)</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Massachusetts law requires.</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Massachusetts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Massachusetts: </w:t>
      </w:r>
      <w:r>
        <w:rPr>
          <w:sz w:val="19"/>
        </w:rPr>
        <w:t xml:space="preserve">A service member can end a residential lease after entering active service, or after receiving permanent change of station or deployment orders, with written notice and a copy of the orders.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Massachusetts: </w:t>
      </w:r>
      <w:r>
        <w:rPr>
          <w:sz w:val="19"/>
        </w:rPr>
        <w:t xml:space="preserve">A survivor of domestic violence, rape, sexual assault or stalking can end the lease with written notice within three months of the most recent incident and must move out within three months; rent stops 30 days or one rental period after moving out, whichever is later. (G.L. c.186, section 24)</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Lease Termination Letter</dc:title>
  <dc:creator>TenantLoop</dc:creator>
</cp:coreProperties>
</file>