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Massachusetts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Massachusetts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Massachusetts)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Massachusetts: </w:t>
      </w:r>
      <w:r>
        <w:rPr>
          <w:sz w:val="19"/>
        </w:rPr>
        <w:t xml:space="preserve">A termination notice, rent increase or major change in terms within six months after a tenant complains, sues or joins a tenant group is presumed retaliatory, and the tenant can recover one to three months of rent or actual damages, whichever is more. (G.L. c.186, section 18)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Massachusetts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Massachusetts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Massachusetts: </w:t>
      </w:r>
      <w:r>
        <w:rPr>
          <w:sz w:val="19"/>
        </w:rPr>
        <w:t xml:space="preserve">The landlord must return the deposit, or the balance after lawful deductions, within 30 days after the tenancy ends. (G.L. c.186, section 15B)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Massachusetts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Massachusetts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Massachusetts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Massachusetts Lease Non-Renewal Letter</dc:title>
  <dc:creator>TenantLoop</dc:creator>
</cp:coreProperties>
</file>