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Rental Application Denial and Adverse Action Notice</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in Massachusetts: </w:t>
      </w:r>
      <w:r>
        <w:rPr>
          <w:sz w:val="19"/>
        </w:rPr>
        <w:t xml:space="preserve">Landlords may not refuse to rent because an applicant receives public assistance or a housing subsidy, and they must follow state fair housing law and the rules for criminal record checks. (G.L. c.151B, section 4)</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Rental Application Denial and Adverse Action Notice</dc:title>
  <dc:creator>TenantLoop</dc:creator>
</cp:coreProperties>
</file>