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Residential Lease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Maryland,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Maryland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Maryland: </w:t>
      </w:r>
      <w:r>
        <w:rPr>
          <w:sz w:val="19"/>
        </w:rPr>
        <w:t xml:space="preserve">A lease may not set a late fee above 5 percent of the rent due for that period; weekly leases have smaller dollar limits. (Md. Code, Real Property 8-208)</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Maryland)</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Maryland law requires.</w:t>
      </w:r>
    </w:p>
    <w:p>
      <w:pPr>
        <w:pBdr>
          <w:left w:val="single" w:sz="18" w:space="8" w:color="1F3D2B"/>
        </w:pBdr>
        <w:shd w:val="clear" w:color="auto" w:fill="F2F2F2"/>
        <w:spacing w:before="0" w:after="160"/>
        <w:ind w:left="120"/>
      </w:pPr>
      <w:r>
        <w:rPr>
          <w:b/>
          <w:sz w:val="19"/>
        </w:rPr>
        <w:t xml:space="preserve">Deposit limit in Maryland: </w:t>
      </w:r>
      <w:r>
        <w:rPr>
          <w:sz w:val="19"/>
        </w:rPr>
        <w:t xml:space="preserve">A security deposit may not exceed one month's rent per unit, with a limited exception up to two months' rent for tenants in a state utility assistance arrangement. (Md. Code, Real Property 8-203)</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Bdr>
          <w:left w:val="single" w:sz="18" w:space="8" w:color="1F3D2B"/>
        </w:pBdr>
        <w:shd w:val="clear" w:color="auto" w:fill="F2F2F2"/>
        <w:spacing w:before="0" w:after="160"/>
        <w:ind w:left="120"/>
      </w:pPr>
      <w:r>
        <w:rPr>
          <w:b/>
          <w:sz w:val="19"/>
        </w:rPr>
        <w:t xml:space="preserve">Interest on deposits in Maryland: </w:t>
      </w:r>
      <w:r>
        <w:rPr>
          <w:sz w:val="19"/>
        </w:rPr>
        <w:t xml:space="preserve">Deposits of $50 or more earn simple interest at the one year U.S. Treasury rate set at the start of each year, or 1.5 percent, whichever is greater. (Md. Code, Real Property 8-203)</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Maryland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Maryland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Maryland)</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Maryland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Maryland: </w:t>
      </w:r>
      <w:r>
        <w:rPr>
          <w:sz w:val="19"/>
        </w:rPr>
        <w:t xml:space="preserve">Before filing a failure to pay rent case, the landlord must give the tenant written notice, on a form created by the Maryland Judiciary, that the landlord will file if the tenant does not pay within 10 days. (Md. Code, Real Property 8-401)</w:t>
      </w:r>
    </w:p>
    <w:p>
      <w:pPr>
        <w:pBdr>
          <w:left w:val="single" w:sz="18" w:space="8" w:color="1F3D2B"/>
        </w:pBdr>
        <w:shd w:val="clear" w:color="auto" w:fill="F2F2F2"/>
        <w:spacing w:before="0" w:after="160"/>
        <w:ind w:left="120"/>
      </w:pPr>
      <w:r>
        <w:rPr>
          <w:b/>
          <w:sz w:val="19"/>
        </w:rPr>
        <w:t xml:space="preserve">Notice for other lease violations in Maryland: </w:t>
      </w:r>
      <w:r>
        <w:rPr>
          <w:sz w:val="19"/>
        </w:rPr>
        <w:t xml:space="preserve">For a breach of lease, the landlord gives 30 days of written notice before filing, or 14 days when the tenant's conduct shows a clear and imminent danger of serious harm. (Md. Code, Real Property 8-402.1)</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Maryland: </w:t>
      </w:r>
      <w:r>
        <w:rPr>
          <w:sz w:val="19"/>
        </w:rPr>
        <w:t xml:space="preserve">Homes built before 1978 need the federal lead-based paint disclosure and the EPA pamphlet. (Residential Lead-Based Paint Hazard Reduction Act (42 U.S.C. 4852d)) Older rental homes covered by Maryland's lead law must be registered with the Department of the Environment and pass lead inspections at turnover. (Md. Code, Environment Article, Title 6, Subtitle 8 (Reduction of Lead Risk in Housing))</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Residential Lease Agreement</dc:title>
  <dc:creator>TenantLoop</dc:creator>
</cp:coreProperties>
</file>