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Maryland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Maryland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Maryland: </w:t>
      </w:r>
      <w:r>
        <w:rPr>
          <w:sz w:val="19"/>
        </w:rPr>
        <w:t xml:space="preserve">If any amount is kept, the landlord must mail a written list of the damages with an itemized statement of costs within 45 days, or lose the right to withhold. (Md. Code, Real Property 8-203)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Maryland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Maryland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Maryland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Maryland Move-In Condition Checklist</dc:title>
  <dc:creator>TenantLoop</dc:creator>
</cp:coreProperties>
</file>