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Notice of Rent Increase</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Indiana law and by your lease.</w:t>
      </w:r>
    </w:p>
    <w:p>
      <w:pPr>
        <w:pBdr>
          <w:left w:val="single" w:sz="18" w:space="8" w:color="1F3D2B"/>
        </w:pBdr>
        <w:shd w:val="clear" w:color="auto" w:fill="F2F2F2"/>
        <w:spacing w:before="0" w:after="160"/>
        <w:ind w:left="120"/>
      </w:pPr>
      <w:r>
        <w:rPr>
          <w:b/>
          <w:sz w:val="19"/>
        </w:rPr>
        <w:t xml:space="preserve">Required notice period: </w:t>
      </w:r>
      <w:r>
        <w:rPr>
          <w:sz w:val="19"/>
        </w:rPr>
        <w:t xml:space="preserve">________ (check the rule in Indiana)</w:t>
      </w:r>
    </w:p>
    <w:p>
      <w:pPr>
        <w:pBdr>
          <w:left w:val="single" w:sz="18" w:space="8" w:color="1F3D2B"/>
        </w:pBdr>
        <w:shd w:val="clear" w:color="auto" w:fill="F2F2F2"/>
        <w:spacing w:before="0" w:after="160"/>
        <w:ind w:left="120"/>
      </w:pPr>
      <w:r>
        <w:rPr>
          <w:b/>
          <w:sz w:val="19"/>
        </w:rPr>
        <w:t xml:space="preserve">Statewide limit on increases: </w:t>
      </w:r>
      <w:r>
        <w:rPr>
          <w:sz w:val="19"/>
        </w:rPr>
        <w:t xml:space="preserve">________ (check the rule in Indiana)</w:t>
      </w:r>
    </w:p>
    <w:p>
      <w:pPr>
        <w:pBdr>
          <w:left w:val="single" w:sz="18" w:space="8" w:color="1F3D2B"/>
        </w:pBdr>
        <w:shd w:val="clear" w:color="auto" w:fill="F2F2F2"/>
        <w:spacing w:before="0" w:after="160"/>
        <w:ind w:left="120"/>
      </w:pPr>
      <w:r>
        <w:rPr>
          <w:b/>
          <w:sz w:val="19"/>
        </w:rPr>
        <w:t xml:space="preserve">Local rent rules in Indiana: </w:t>
      </w:r>
      <w:r>
        <w:rPr>
          <w:sz w:val="19"/>
        </w:rPr>
        <w:t xml:space="preserve">Local governments also may not regulate other parts of the landlord tenant relationship, such as the tenant screening process, without legislative authorization. (IC 32-31-1-20 and IC 36-1-3-8.5)</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Indiana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Notice of Rent Increase</dc:title>
  <dc:creator>TenantLoop</dc:creator>
</cp:coreProperties>
</file>