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Indiana: </w:t>
      </w:r>
      <w:r>
        <w:rPr>
          <w:sz w:val="19"/>
        </w:rPr>
        <w:t xml:space="preserve">The itemized list must show the estimated repair cost for each damaged item, and a landlord who fails to send it is treated as agreeing that no damages are due and must refund the full deposit. (IC 32-31-3-14 and IC 32-31-3-15)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Move-In Condition Checklist</dc:title>
  <dc:creator>TenantLoop</dc:creator>
</cp:coreProperties>
</file>