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Month-to-Month Rental Agreement</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Indiana.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Indiana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Indiana: </w:t>
      </w:r>
      <w:r>
        <w:rPr>
          <w:sz w:val="19"/>
        </w:rPr>
        <w:t xml:space="preserve">Either side can end a month to month tenancy with notice equal to one rental period, which is one month. (IC 32-31-1-4)</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Indiana)</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Indiana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Indiana)</w:t>
      </w:r>
    </w:p>
    <w:p>
      <w:pPr>
        <w:pBdr>
          <w:left w:val="single" w:sz="18" w:space="8" w:color="1F3D2B"/>
        </w:pBdr>
        <w:shd w:val="clear" w:color="auto" w:fill="F2F2F2"/>
        <w:spacing w:before="0" w:after="160"/>
        <w:ind w:left="120"/>
      </w:pPr>
      <w:r>
        <w:rPr>
          <w:b/>
          <w:sz w:val="19"/>
        </w:rPr>
        <w:t xml:space="preserve">Rent control in Indiana: </w:t>
      </w:r>
      <w:r>
        <w:rPr>
          <w:sz w:val="19"/>
        </w:rPr>
        <w:t xml:space="preserve">Cities, towns and counties may not regulate rents on privately owned property unless the legislature authorizes it, so Indiana has no rent control. (IC 32-31-1-20)</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Indiana law.</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Indiana)</w:t>
      </w:r>
    </w:p>
    <w:p>
      <w:pPr>
        <w:pBdr>
          <w:left w:val="single" w:sz="18" w:space="8" w:color="1F3D2B"/>
        </w:pBdr>
        <w:shd w:val="clear" w:color="auto" w:fill="F2F2F2"/>
        <w:spacing w:before="0" w:after="160"/>
        <w:ind w:left="120"/>
      </w:pPr>
      <w:r>
        <w:rPr>
          <w:b/>
          <w:sz w:val="19"/>
        </w:rPr>
        <w:t xml:space="preserve">Deposit return deadline in Indiana: </w:t>
      </w:r>
      <w:r>
        <w:rPr>
          <w:sz w:val="19"/>
        </w:rPr>
        <w:t xml:space="preserve">The landlord must return the deposit, less lawful deductions, with a written itemized notice no later than 45 days after the lease ends and the tenant gives up possession. (IC 32-31-3-12 and IC 32-31-3-14)</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Indiana law requires, and at any time in an emergency.</w:t>
      </w:r>
    </w:p>
    <w:p>
      <w:pPr>
        <w:pBdr>
          <w:left w:val="single" w:sz="18" w:space="8" w:color="1F3D2B"/>
        </w:pBdr>
        <w:shd w:val="clear" w:color="auto" w:fill="F2F2F2"/>
        <w:spacing w:before="0" w:after="160"/>
        <w:ind w:left="120"/>
      </w:pPr>
      <w:r>
        <w:rPr>
          <w:b/>
          <w:sz w:val="19"/>
        </w:rPr>
        <w:t xml:space="preserve">Entry notice in Indiana: </w:t>
      </w:r>
      <w:r>
        <w:rPr>
          <w:sz w:val="19"/>
        </w:rPr>
        <w:t xml:space="preserve">The landlord gives reasonable written or oral notice before entering and enters only at reasonable times; no notice is needed in an emergency that threatens safety or property. (IC 32-31-5-6)</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Indiana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Indiana: </w:t>
      </w:r>
      <w:r>
        <w:rPr>
          <w:sz w:val="19"/>
        </w:rPr>
        <w:t xml:space="preserve">When rent is unpaid, the landlord can end the lease with at least 10 days of written notice unless the parties agreed otherwise or the tenant pays all the rent before the notice runs out. (IC 32-31-1-6)</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Indiana: </w:t>
      </w:r>
      <w:r>
        <w:rPr>
          <w:sz w:val="19"/>
        </w:rPr>
        <w:t xml:space="preserve">Homes built before 1978 need the federal lead-based paint disclosure and the EPA pamphlet. (Residential Lead-Based Paint Hazard Reduction Act (42 U.S.C. 4852d)) At or before the start of the tenancy, the landlord must give the tenant in writing the names and addresses of an Indiana resident authorized to manage the unit and of the person authorized to receive notices. (IC 32-31-3-18)</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Month-to-Month Rental Agreement</dc:title>
  <dc:creator>TenantLoop</dc:creator>
</cp:coreProperties>
</file>