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Indiana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Indiana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Indiana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Indiana: </w:t>
      </w:r>
      <w:r>
        <w:rPr>
          <w:sz w:val="19"/>
        </w:rPr>
        <w:t xml:space="preserve">Either side can end a month to month tenancy with notice equal to one rental period, which is one month. (IC 32-31-1-4)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Indiana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Indiana: </w:t>
      </w:r>
      <w:r>
        <w:rPr>
          <w:sz w:val="19"/>
        </w:rPr>
        <w:t xml:space="preserve">The landlord must return the deposit, less lawful deductions, with a written itemized notice no later than 45 days after the lease ends and the tenant gives up possession. (IC 32-31-3-12 and IC 32-31-3-14)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Indiana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Indiana: </w:t>
      </w:r>
      <w:r>
        <w:rPr>
          <w:sz w:val="19"/>
        </w:rPr>
        <w:t xml:space="preserve">A service member who enters active duty or receives qualifying orders can end a residential lease early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 in Indiana: </w:t>
      </w:r>
      <w:r>
        <w:rPr>
          <w:sz w:val="19"/>
        </w:rPr>
        <w:t xml:space="preserve">A protected survivor of domestic violence and certain other crimes can end the lease with at least 30 days of written notice that includes a copy of a protective order or criminal no contact order. (IC 32-31-9-12)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Indiana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Indiana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Indiana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Indiana Lease Termination Letter</dc:title>
  <dc:creator>TenantLoop</dc:creator>
</cp:coreProperties>
</file>