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Indiana: </w:t>
      </w:r>
      <w:r>
        <w:rPr>
          <w:sz w:val="19"/>
        </w:rPr>
        <w:t xml:space="preserve">Local governments also may not regulate other parts of the landlord tenant relationship, such as the tenant screening process, without legislative authorization. (IC 32-31-1-20 and IC 36-1-3-8.5)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Indiana: </w:t>
      </w:r>
      <w:r>
        <w:rPr>
          <w:sz w:val="19"/>
        </w:rPr>
        <w:t xml:space="preserve">A landlord may not raise rent, cut services or bring or threaten an eviction because a tenant complained to a code agency, complained in writing about repairs, sued under the landlord tenant laws, joined a tenant group or testified against the landlord. (IC 32-31-8.5)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Indiana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Indiana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Indiana: </w:t>
      </w:r>
      <w:r>
        <w:rPr>
          <w:sz w:val="19"/>
        </w:rPr>
        <w:t xml:space="preserve">The landlord must return the deposit, less lawful deductions, with a written itemized notice no later than 45 days after the lease ends and the tenant gives up possession. (IC 32-31-3-12 and IC 32-31-3-14)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Lease Non-Renewal Letter</dc:title>
  <dc:creator>TenantLoop</dc:creator>
</cp:coreProperties>
</file>