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Residential Sublease Agreement</w:t>
      </w:r>
    </w:p>
    <w:p>
      <w:pPr>
        <w:spacing w:before="0" w:after="240"/>
      </w:pPr>
      <w:r>
        <w:rPr>
          <w:color w:val="555555"/>
          <w:sz w:val="22"/>
        </w:rPr>
        <w:t xml:space="preserve">General template, not legal advice. Have a Illinois attorney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Illinois,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Illinois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in Illinois: </w:t>
      </w:r>
      <w:r>
        <w:rPr>
          <w:sz w:val="19"/>
        </w:rPr>
        <w:t xml:space="preserve">To keep any part of the deposit for damage, the landlord must send an itemized statement within 30 days after move out; otherwise the full deposit is due within 45 days. (765 ILCS 710/1)</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Illinois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Residential Sublease Agreement</dc:title>
  <dc:creator>TenantLoop</dc:creator>
</cp:coreProperties>
</file>