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Rent Increase Letter</w:t>
      </w:r>
    </w:p>
    <w:p>
      <w:pPr>
        <w:spacing w:before="0" w:after="240"/>
      </w:pPr>
      <w:r>
        <w:rPr>
          <w:color w:val="555555"/>
          <w:sz w:val="22"/>
        </w:rPr>
        <w:t xml:space="preserve">General template, not legal advice. Have a Illinois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w:t>
      </w:r>
      <w:r>
        <w:rPr>
          <w:sz w:val="19"/>
        </w:rPr>
        <w:t xml:space="preserve">________ (check the rule in Illinois)</w:t>
      </w:r>
    </w:p>
    <w:p>
      <w:pPr>
        <w:pBdr>
          <w:left w:val="single" w:sz="18" w:space="8" w:color="1F3D2B"/>
        </w:pBdr>
        <w:shd w:val="clear" w:color="auto" w:fill="F2F2F2"/>
        <w:spacing w:before="0" w:after="160"/>
        <w:ind w:left="120"/>
      </w:pPr>
      <w:r>
        <w:rPr>
          <w:b/>
          <w:sz w:val="19"/>
        </w:rPr>
        <w:t xml:space="preserve">Rent control or caps in Illinois: </w:t>
      </w:r>
      <w:r>
        <w:rPr>
          <w:sz w:val="19"/>
        </w:rPr>
        <w:t xml:space="preserve">Local governments may not enact or enforce any ordinance that controls the amount of rent for private residential or commercial property. (Rent Control Preemption Act (50 ILCS 825/5))</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Rent Increase Letter</dc:title>
  <dc:creator>TenantLoop</dc:creator>
</cp:coreProperties>
</file>