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Illinois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Illinois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Illinois: </w:t>
      </w:r>
      <w:r>
        <w:rPr>
          <w:sz w:val="19"/>
        </w:rPr>
        <w:t xml:space="preserve">The statement must list each item of damage with its cost and include paid receipts, or the receipts must follow within 30 days if estimates were used. (765 ILCS 710/1)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Illinois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Illinois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Illinois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Illinois Move-In Condition Checklist</dc:title>
  <dc:creator>TenantLoop</dc:creator>
</cp:coreProperties>
</file>