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Rental Application Denial and Adverse Action Notice</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Illinois: </w:t>
      </w:r>
      <w:r>
        <w:rPr>
          <w:sz w:val="19"/>
        </w:rPr>
        <w:t xml:space="preserve">The Illinois Human Rights Act protects applicants based on source of income, including housing vouchers, as well as the federal protected classes. (Illinois Human Rights Act (775 ILCS 5))</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Rental Application Denial and Adverse Action Notice</dc:title>
  <dc:creator>TenantLoop</dc:creator>
</cp:coreProperties>
</file>