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Rent Increase Letter</w:t>
      </w:r>
    </w:p>
    <w:p>
      <w:pPr>
        <w:spacing w:before="0" w:after="240"/>
      </w:pPr>
      <w:r>
        <w:rPr>
          <w:color w:val="555555"/>
          <w:sz w:val="22"/>
        </w:rPr>
        <w:t xml:space="preserve">General template, not legal advice. Have a Georgia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Georgia)</w:t>
      </w:r>
    </w:p>
    <w:p>
      <w:pPr>
        <w:pBdr>
          <w:left w:val="single" w:sz="18" w:space="8" w:color="1F3D2B"/>
        </w:pBdr>
        <w:shd w:val="clear" w:color="auto" w:fill="F2F2F2"/>
        <w:spacing w:before="0" w:after="160"/>
        <w:ind w:left="120"/>
      </w:pPr>
      <w:r>
        <w:rPr>
          <w:b/>
          <w:sz w:val="19"/>
        </w:rPr>
        <w:t xml:space="preserve">Rent control or caps in Georgia: </w:t>
      </w:r>
      <w:r>
        <w:rPr>
          <w:sz w:val="19"/>
        </w:rPr>
        <w:t xml:space="preserve">Counties and cities may not enact rules that regulate the amount of rent charged for private residential property. (O.C.G.A. section 44-7-19)</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Rent Increase Letter</dc:title>
  <dc:creator>TenantLoop</dc:creator>
</cp:coreProperties>
</file>