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Eviction Notice Set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Georgia law allows them in this notice.</w:t>
      </w:r>
    </w:p>
    <w:p>
      <w:pPr>
        <w:pBdr>
          <w:left w:val="single" w:sz="18" w:space="8" w:color="1F3D2B"/>
        </w:pBdr>
        <w:shd w:val="clear" w:color="auto" w:fill="F2F2F2"/>
        <w:spacing w:before="0" w:after="160"/>
        <w:ind w:left="120"/>
      </w:pPr>
      <w:r>
        <w:rPr>
          <w:b/>
          <w:sz w:val="19"/>
        </w:rPr>
        <w:t xml:space="preserve">Notice period for unpaid rent: </w:t>
      </w:r>
      <w:r>
        <w:rPr>
          <w:sz w:val="19"/>
        </w:rPr>
        <w:t xml:space="preserve">________ (check the rule in Georgia)</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Georgia)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Georgia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Georgia: </w:t>
      </w:r>
      <w:r>
        <w:rPr>
          <w:sz w:val="19"/>
        </w:rPr>
        <w:t xml:space="preserve">A landlord must give 60 days of notice to end a tenancy at will, such as a month-to-month arrangement, while the tenant gives 30 days. (O.C.G.A. section 44-7-7)</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Eviction Notice Set</dc:title>
  <dc:creator>TenantLoop</dc:creator>
</cp:coreProperties>
</file>