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Rental Application Denial and Adverse Action Notice</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Georgia: </w:t>
      </w:r>
      <w:r>
        <w:rPr>
          <w:sz w:val="19"/>
        </w:rPr>
        <w:t xml:space="preserve">Screening must follow the federal Fair Housing Act and the Georgia Fair Housing Act, which bar discrimination based on protected characteristics. (Georgia Fair Housing Act and federal Fair Housing Act)</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Rental Application Denial and Adverse Action Notice</dc:title>
  <dc:creator>TenantLoop</dc:creator>
</cp:coreProperties>
</file>