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Normal Wear and Tear vs. Damage Checklist</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Florida: </w:t>
      </w:r>
      <w:r>
        <w:rPr>
          <w:sz w:val="19"/>
        </w:rPr>
        <w:t xml:space="preserve">The notice of claim must state the amount and the reason, go by certified mail or email, and use the statutory wording that gives the tenant 15 days to object in writing. (Florida Statutes section 83.49(3))</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Normal Wear and Tear vs. Damage Checklist</dc:title>
  <dc:creator>TenantLoop</dc:creator>
</cp:coreProperties>
</file>