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Rent Increase Letter</w:t>
      </w:r>
    </w:p>
    <w:p>
      <w:pPr>
        <w:spacing w:before="0" w:after="240"/>
      </w:pPr>
      <w:r>
        <w:rPr>
          <w:color w:val="555555"/>
          <w:sz w:val="22"/>
        </w:rPr>
        <w:t xml:space="preserve">General template, not legal advice. Have a Florida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Florida)</w:t>
      </w:r>
    </w:p>
    <w:p>
      <w:pPr>
        <w:pBdr>
          <w:left w:val="single" w:sz="18" w:space="8" w:color="1F3D2B"/>
        </w:pBdr>
        <w:shd w:val="clear" w:color="auto" w:fill="F2F2F2"/>
        <w:spacing w:before="0" w:after="160"/>
        <w:ind w:left="120"/>
      </w:pPr>
      <w:r>
        <w:rPr>
          <w:b/>
          <w:sz w:val="19"/>
        </w:rPr>
        <w:t xml:space="preserve">Rent control or caps in Florida: </w:t>
      </w:r>
      <w:r>
        <w:rPr>
          <w:sz w:val="19"/>
        </w:rPr>
        <w:t xml:space="preserve">Local governments in Florida may not adopt or keep any measure that controls rents; only land use tools that add affordable housing are allowed. (Florida Statutes section 125.0103 (as amended by ch. 2023-17))</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Rent Increase Letter</dc:title>
  <dc:creator>TenantLoop</dc:creator>
</cp:coreProperties>
</file>