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Florida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Florida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Florida: </w:t>
      </w:r>
      <w:r>
        <w:rPr>
          <w:sz w:val="19"/>
        </w:rPr>
        <w:t xml:space="preserve">Since July 1, 2023, cities and counties may not set their own rules on tenant screening, deposits, application fees, lease terms, landlord fees or notice periods. (Florida Statutes section 83.425)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Florida: </w:t>
      </w:r>
      <w:r>
        <w:rPr>
          <w:sz w:val="19"/>
        </w:rPr>
        <w:t xml:space="preserve">A landlord may not raise rent, cut services or file for eviction mainly to punish a tenant who complained to a code agency, joined a tenant group or used fair housing rights in good faith. (Florida Statutes section 83.64)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Florida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Florida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Florida: </w:t>
      </w:r>
      <w:r>
        <w:rPr>
          <w:sz w:val="19"/>
        </w:rPr>
        <w:t xml:space="preserve">With no claim, the deposit is due back within 15 days after the lease ends; to keep any part, the landlord must send written notice of the claim within 30 days. (Florida Statutes section 83.49(3))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Florida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Florida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Florida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Florida Lease Non-Renewal Letter</dc:title>
  <dc:creator>TenantLoop</dc:creator>
</cp:coreProperties>
</file>