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Rental Application Denial and Adverse Action Notice</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in Florida: </w:t>
      </w:r>
      <w:r>
        <w:rPr>
          <w:sz w:val="19"/>
        </w:rPr>
        <w:t xml:space="preserve">Tenant screening rules are set only by state and federal law, because local screening ordinances are preempted, and screening must follow the federal and Florida fair housing acts. (Florida Statutes section 83.425 and Florida Fair Housing Act (chapter 760))</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Rental Application Denial and Adverse Action Notice</dc:title>
  <dc:creator>TenantLoop</dc:creator>
</cp:coreProperties>
</file>