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Residential Lease Agreement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Colorado,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Colorado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Colorado)</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Colorado)</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Colorado law requires.</w:t>
      </w:r>
    </w:p>
    <w:p>
      <w:pPr>
        <w:pBdr>
          <w:left w:val="single" w:sz="18" w:space="8" w:color="1F3D2B"/>
        </w:pBdr>
        <w:shd w:val="clear" w:color="auto" w:fill="F2F2F2"/>
        <w:spacing w:before="0" w:after="160"/>
        <w:ind w:left="120"/>
      </w:pPr>
      <w:r>
        <w:rPr>
          <w:b/>
          <w:sz w:val="19"/>
        </w:rPr>
        <w:t xml:space="preserve">Deposit limit in Colorado: </w:t>
      </w:r>
      <w:r>
        <w:rPr>
          <w:sz w:val="19"/>
        </w:rPr>
        <w:t xml:space="preserve">A landlord may not require a security deposit larger than two months of rent. (C.R.S. section 38-12-102.5)</w:t>
      </w:r>
    </w:p>
    <w:p>
      <w:pPr>
        <w:pBdr>
          <w:left w:val="single" w:sz="18" w:space="8" w:color="1F3D2B"/>
        </w:pBdr>
        <w:shd w:val="clear" w:color="auto" w:fill="F2F2F2"/>
        <w:spacing w:before="0" w:after="160"/>
        <w:ind w:left="120"/>
      </w:pPr>
      <w:r>
        <w:rPr>
          <w:b/>
          <w:sz w:val="19"/>
        </w:rPr>
        <w:t xml:space="preserve">Deposit return deadline in Colorado: </w:t>
      </w:r>
      <w:r>
        <w:rPr>
          <w:sz w:val="19"/>
        </w:rPr>
        <w:t xml:space="preserve">From January 1, 2026, the landlord must return the deposit within 30 days after the lease ends or the premises are surrendered, whichever is later, unless the lease allows a longer period of up to 60 days. (C.R.S. section 38-12-103 (HB 25-1249))</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Colorado)</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Colorado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Colorado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Colorado)</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Colorado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Colorado)</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Colorado)</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Colorado: </w:t>
      </w:r>
      <w:r>
        <w:rPr>
          <w:sz w:val="19"/>
        </w:rPr>
        <w:t xml:space="preserve">Homes built before 1978 need the federal lead-based paint disclosure and the EPA pamphlet. (Residential Lead-Based Paint Hazard Reduction Act (42 U.S.C. 4852d)) Pet deposits are limited and must be refundable. (C.R.S. section 38-12-106)</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Residential Lease Agreement</dc:title>
  <dc:creator>TenantLoop</dc:creator>
</cp:coreProperties>
</file>