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Rent Increase Letter</w:t>
      </w:r>
    </w:p>
    <w:p>
      <w:pPr>
        <w:spacing w:before="0" w:after="240"/>
      </w:pPr>
      <w:r>
        <w:rPr>
          <w:color w:val="555555"/>
          <w:sz w:val="22"/>
        </w:rPr>
        <w:t xml:space="preserve">General template, not legal advice. Have a Colorado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Colorado: </w:t>
      </w:r>
      <w:r>
        <w:rPr>
          <w:sz w:val="19"/>
        </w:rPr>
        <w:t xml:space="preserve">Rent may not be increased more than once in any 12 month period. (C.R.S. section 38-12-702)</w:t>
      </w:r>
    </w:p>
    <w:p>
      <w:pPr>
        <w:pBdr>
          <w:left w:val="single" w:sz="18" w:space="8" w:color="1F3D2B"/>
        </w:pBdr>
        <w:shd w:val="clear" w:color="auto" w:fill="F2F2F2"/>
        <w:spacing w:before="0" w:after="160"/>
        <w:ind w:left="120"/>
      </w:pPr>
      <w:r>
        <w:rPr>
          <w:b/>
          <w:sz w:val="19"/>
        </w:rPr>
        <w:t xml:space="preserve">Rent control or caps in Colorado: </w:t>
      </w:r>
      <w:r>
        <w:rPr>
          <w:sz w:val="19"/>
        </w:rPr>
        <w:t xml:space="preserve">Counties and cities may not enact rent control on private residential property, although voluntary affordable housing agreements are allowed. (C.R.S. section 38-12-301)</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Rent Increase Letter</dc:title>
  <dc:creator>TenantLoop</dc:creator>
</cp:coreProperties>
</file>