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Eviction Notice Set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Colorado law allows them in this notice.</w:t>
      </w:r>
    </w:p>
    <w:p>
      <w:pPr>
        <w:pBdr>
          <w:left w:val="single" w:sz="18" w:space="8" w:color="1F3D2B"/>
        </w:pBdr>
        <w:shd w:val="clear" w:color="auto" w:fill="F2F2F2"/>
        <w:spacing w:before="0" w:after="160"/>
        <w:ind w:left="120"/>
      </w:pPr>
      <w:r>
        <w:rPr>
          <w:b/>
          <w:sz w:val="19"/>
        </w:rPr>
        <w:t xml:space="preserve">Notice period for unpaid rent: </w:t>
      </w:r>
      <w:r>
        <w:rPr>
          <w:sz w:val="19"/>
        </w:rPr>
        <w:t xml:space="preserve">________ (check the rule in Colorado)</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w:t>
      </w:r>
      <w:r>
        <w:rPr>
          <w:sz w:val="19"/>
        </w:rPr>
        <w:t xml:space="preserve">________ (check the rule in Colorado)</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Colorado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Colorado: </w:t>
      </w:r>
      <w:r>
        <w:rPr>
          <w:sz w:val="19"/>
        </w:rPr>
        <w:t xml:space="preserve">A landlord may not end a residential tenancy or refuse to renew it without a cause listed in the statute, such as nonpayment, a material violation or nuisance, or a qualifying no fault reason like owner move in, sale or major renovation. (C.R.S. section 38-12-1303 (HB 24-1098))</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Eviction Notice Set</dc:title>
  <dc:creator>TenantLoop</dc:creator>
</cp:coreProperties>
</file>