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Residential Lease Agreement</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California,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California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California)</w:t>
      </w:r>
    </w:p>
    <w:p>
      <w:pPr>
        <w:pBdr>
          <w:left w:val="single" w:sz="18" w:space="8" w:color="1F3D2B"/>
        </w:pBdr>
        <w:shd w:val="clear" w:color="auto" w:fill="F2F2F2"/>
        <w:spacing w:before="0" w:after="160"/>
        <w:ind w:left="120"/>
      </w:pPr>
      <w:r>
        <w:rPr>
          <w:b/>
          <w:sz w:val="19"/>
        </w:rPr>
        <w:t xml:space="preserve">Required grace period: </w:t>
      </w:r>
      <w:r>
        <w:rPr>
          <w:sz w:val="19"/>
        </w:rPr>
        <w:t xml:space="preserve">________ (check the rule in California)</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California law requires.</w:t>
      </w:r>
    </w:p>
    <w:p>
      <w:pPr>
        <w:pBdr>
          <w:left w:val="single" w:sz="18" w:space="8" w:color="1F3D2B"/>
        </w:pBdr>
        <w:shd w:val="clear" w:color="auto" w:fill="F2F2F2"/>
        <w:spacing w:before="0" w:after="160"/>
        <w:ind w:left="120"/>
      </w:pPr>
      <w:r>
        <w:rPr>
          <w:b/>
          <w:sz w:val="19"/>
        </w:rPr>
        <w:t xml:space="preserve">Deposit limit in California: </w:t>
      </w:r>
      <w:r>
        <w:rPr>
          <w:sz w:val="19"/>
        </w:rPr>
        <w:t xml:space="preserve">Most landlords may collect no more than one month of rent as a deposit, while a small landlord (a person or family LLC owning no more than two properties with four units in total) may collect up to two months. (Civil Code section 1950.5 (as amended by AB 12, 2023))</w:t>
      </w:r>
    </w:p>
    <w:p>
      <w:pPr>
        <w:pBdr>
          <w:left w:val="single" w:sz="18" w:space="8" w:color="1F3D2B"/>
        </w:pBdr>
        <w:shd w:val="clear" w:color="auto" w:fill="F2F2F2"/>
        <w:spacing w:before="0" w:after="160"/>
        <w:ind w:left="120"/>
      </w:pPr>
      <w:r>
        <w:rPr>
          <w:b/>
          <w:sz w:val="19"/>
        </w:rPr>
        <w:t xml:space="preserve">Deposit return deadline in California: </w:t>
      </w:r>
      <w:r>
        <w:rPr>
          <w:sz w:val="19"/>
        </w:rPr>
        <w:t xml:space="preserve">The landlord must return the deposit, minus any lawful deductions, within 21 days after the tenant moves out. (Civil Code section 1950.5)</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California)</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California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California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in California: </w:t>
      </w:r>
      <w:r>
        <w:rPr>
          <w:sz w:val="19"/>
        </w:rPr>
        <w:t xml:space="preserve">Landlords must give reasonable written notice before entering, and 24 hours is presumed reasonable (6 days if the notice is mailed), except in emergencies. (Civil Code section 1954)</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California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California: </w:t>
      </w:r>
      <w:r>
        <w:rPr>
          <w:sz w:val="19"/>
        </w:rPr>
        <w:t xml:space="preserve">For unpaid rent, the landlord serves a 3-day notice to pay rent or quit, and the three days do not count Saturdays, Sundays or judicial holidays. (Code of Civil Procedure section 1161)</w:t>
      </w:r>
    </w:p>
    <w:p>
      <w:pPr>
        <w:pBdr>
          <w:left w:val="single" w:sz="18" w:space="8" w:color="1F3D2B"/>
        </w:pBdr>
        <w:shd w:val="clear" w:color="auto" w:fill="F2F2F2"/>
        <w:spacing w:before="0" w:after="160"/>
        <w:ind w:left="120"/>
      </w:pPr>
      <w:r>
        <w:rPr>
          <w:b/>
          <w:sz w:val="19"/>
        </w:rPr>
        <w:t xml:space="preserve">Notice for other lease violations in California: </w:t>
      </w:r>
      <w:r>
        <w:rPr>
          <w:sz w:val="19"/>
        </w:rPr>
        <w:t xml:space="preserve">For a lease violation that can be fixed, the landlord serves a 3-day notice to perform the covenant or quit, giving the tenant a chance to cure. (Code of Civil Procedure section 1161)</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California: </w:t>
      </w:r>
      <w:r>
        <w:rPr>
          <w:sz w:val="19"/>
        </w:rPr>
        <w:t xml:space="preserve">Homes built before 1978 need the federal lead-based paint disclosure and the EPA pamphlet. (Residential Lead-Based Paint Hazard Reduction Act (42 U.S.C. 4852d)) Leases must include the statutory notice about the Megan's Law sex offender database. (Civil Code section 2079.10a) Landlords must give new tenants written information about bed bugs. (Civil Code section 1954.603) Landlords must disclose if the property is in a special flood hazard area they know about. (Government Code section 8589.45)</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Residential Lease Agreement</dc:title>
  <dc:creator>TenantLoop</dc:creator>
</cp:coreProperties>
</file>