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Rental Application</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California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California: </w:t>
      </w:r>
      <w:r>
        <w:rPr>
          <w:sz w:val="19"/>
        </w:rPr>
        <w:t xml:space="preserve">Screening fees are capped at an amount adjusted each year for inflation, the landlord must give an itemized receipt, and unused amounts must be returned. (Civil Code section 1950.6)</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California: </w:t>
      </w:r>
      <w:r>
        <w:rPr>
          <w:sz w:val="19"/>
        </w:rPr>
        <w:t xml:space="preserve">Refusing an applicant because they pay part of the rent with a housing voucher counts as source of income discrimination. (Fair Employment and Housing Act (as amended by SB 329, 2019))</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Rental Application</dc:title>
  <dc:creator>TenantLoop</dc:creator>
</cp:coreProperties>
</file>