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Rent Increase Letter</w:t>
      </w:r>
    </w:p>
    <w:p>
      <w:pPr>
        <w:spacing w:before="0" w:after="240"/>
      </w:pPr>
      <w:r>
        <w:rPr>
          <w:color w:val="555555"/>
          <w:sz w:val="22"/>
        </w:rPr>
        <w:t xml:space="preserve">General template, not legal advice. Have a California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in California: </w:t>
      </w:r>
      <w:r>
        <w:rPr>
          <w:sz w:val="19"/>
        </w:rPr>
        <w:t xml:space="preserve">A month-to-month rent increase of 10 percent or less within 12 months needs at least 30 days of written notice. (Civil Code section 827) An increase of more than 10 percent within 12 months needs at least 90 days of written notice. (Civil Code section 827)</w:t>
      </w:r>
    </w:p>
    <w:p>
      <w:pPr>
        <w:pBdr>
          <w:left w:val="single" w:sz="18" w:space="8" w:color="1F3D2B"/>
        </w:pBdr>
        <w:shd w:val="clear" w:color="auto" w:fill="F2F2F2"/>
        <w:spacing w:before="0" w:after="160"/>
        <w:ind w:left="120"/>
      </w:pPr>
      <w:r>
        <w:rPr>
          <w:b/>
          <w:sz w:val="19"/>
        </w:rPr>
        <w:t xml:space="preserve">Rent control or caps in California: </w:t>
      </w:r>
      <w:r>
        <w:rPr>
          <w:sz w:val="19"/>
        </w:rPr>
        <w:t xml:space="preserve">California has a statewide cap on annual increases for many rentals, and cities may run stricter programs within limits set by state law. (Tenant Protection Act of 2019 (AB 1482) and Costa-Hawkins Rental Housing Act)</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Rent Increase Letter</dc:title>
  <dc:creator>TenantLoop</dc:creator>
</cp:coreProperties>
</file>