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California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California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California: </w:t>
      </w:r>
      <w:r>
        <w:rPr>
          <w:sz w:val="19"/>
        </w:rPr>
        <w:t xml:space="preserve">Deductions need an itemized statement, with receipts or invoices for any repair or cleaning charge over $125. (Civil Code section 1950.5)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California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California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California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California Move-In Condition Checklist</dc:title>
  <dc:creator>TenantLoop</dc:creator>
</cp:coreProperties>
</file>