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California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California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California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California: </w:t>
      </w:r>
      <w:r>
        <w:rPr>
          <w:sz w:val="19"/>
        </w:rPr>
        <w:t xml:space="preserve">A tenant on a month-to-month agreement gives at least 30 days of written notice; a landlord gives 30 or 60 days depending on how long the tenant has lived there. (Civil Code sections 1946 and 1946.1)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California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California: </w:t>
      </w:r>
      <w:r>
        <w:rPr>
          <w:sz w:val="19"/>
        </w:rPr>
        <w:t xml:space="preserve">The landlord must return the deposit, minus any lawful deductions, within 21 days after the tenant moves out. (Civil Code section 1950.5)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California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California: </w:t>
      </w:r>
      <w:r>
        <w:rPr>
          <w:sz w:val="19"/>
        </w:rPr>
        <w:t xml:space="preserve">A tenant entering active military service, or getting orders to move, can end a residential lease early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 in California: </w:t>
      </w:r>
      <w:r>
        <w:rPr>
          <w:sz w:val="19"/>
        </w:rPr>
        <w:t xml:space="preserve">A survivor of domestic violence, sexual assault, stalking or similar abuse can end a lease with 14 days of written notice and qualifying documentation. (Civil Code section 1946.7)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California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California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California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California Lease Termination Letter</dc:title>
  <dc:creator>TenantLoop</dc:creator>
</cp:coreProperties>
</file>