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California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California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 in California: </w:t>
      </w:r>
      <w:r>
        <w:rPr>
          <w:sz w:val="19"/>
        </w:rPr>
        <w:t xml:space="preserve">Some cities, including Los Angeles, San Francisco, Oakland and Berkeley, have their own rent stabilization ordinances with stricter rules. (Local ordinances) Costa-Hawkins keeps local rent control off single family homes, condos and buildings first occupied after 1995, and lets landlords reset rent between tenants. (Civil Code section 1954.50 and following (Costa-Hawkins))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California: </w:t>
      </w:r>
      <w:r>
        <w:rPr>
          <w:sz w:val="19"/>
        </w:rPr>
        <w:t xml:space="preserve">A landlord may not raise rent, cut services or evict to retaliate against a tenant who used a legal right, and action within 180 days of that right being used is presumed retaliatory. (Civil Code section 1942.5)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California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California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California: </w:t>
      </w:r>
      <w:r>
        <w:rPr>
          <w:sz w:val="19"/>
        </w:rPr>
        <w:t xml:space="preserve">The landlord must return the deposit, minus any lawful deductions, within 21 days after the tenant moves out. (Civil Code section 1950.5)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California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California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California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California Lease Non-Renewal Letter</dc:title>
  <dc:creator>TenantLoop</dc:creator>
</cp:coreProperties>
</file>