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Eviction Notice Set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California law allows them in this notice.</w:t>
      </w:r>
    </w:p>
    <w:p>
      <w:pPr>
        <w:pBdr>
          <w:left w:val="single" w:sz="18" w:space="8" w:color="1F3D2B"/>
        </w:pBdr>
        <w:shd w:val="clear" w:color="auto" w:fill="F2F2F2"/>
        <w:spacing w:before="0" w:after="160"/>
        <w:ind w:left="120"/>
      </w:pPr>
      <w:r>
        <w:rPr>
          <w:b/>
          <w:sz w:val="19"/>
        </w:rPr>
        <w:t xml:space="preserve">Notice period for unpaid rent in California: </w:t>
      </w:r>
      <w:r>
        <w:rPr>
          <w:sz w:val="19"/>
        </w:rPr>
        <w:t xml:space="preserve">For unpaid rent, the landlord serves a 3-day notice to pay rent or quit, and the three days do not count Saturdays, Sundays or judicial holidays. (Code of Civil Procedure section 1161)</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California: </w:t>
      </w:r>
      <w:r>
        <w:rPr>
          <w:sz w:val="19"/>
        </w:rPr>
        <w:t xml:space="preserve">For a lease violation that can be fixed, the landlord serves a 3-day notice to perform the covenant or quit, giving the tenant a chance to cure. (Code of Civil Procedure section 1161)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California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California: </w:t>
      </w:r>
      <w:r>
        <w:rPr>
          <w:sz w:val="19"/>
        </w:rPr>
        <w:t xml:space="preserve">Ending a month-to-month tenancy takes 30 days of written notice if the tenant has lived there less than a year and 60 days after a year, but units covered by the Tenant Protection Act also need a just cause once the tenant has been there 12 months. (Civil Code sections 1946.1 and 1946.2 (Tenant Protection Act of 2019, AB 1482))</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Eviction Notice Set</dc:title>
  <dc:creator>TenantLoop</dc:creator>
</cp:coreProperties>
</file>