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Rent Increase Letter</w:t>
      </w:r>
    </w:p>
    <w:p>
      <w:pPr>
        <w:spacing w:before="0" w:after="240"/>
      </w:pPr>
      <w:r>
        <w:rPr>
          <w:color w:val="555555"/>
          <w:sz w:val="22"/>
        </w:rPr>
        <w:t xml:space="preserve">General template, not legal advice. Have a Arizona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w:t>
      </w:r>
      <w:r>
        <w:rPr>
          <w:sz w:val="19"/>
        </w:rPr>
        <w:t xml:space="preserve">________ (check the rule in Arizona)</w:t>
      </w:r>
    </w:p>
    <w:p>
      <w:pPr>
        <w:pBdr>
          <w:left w:val="single" w:sz="18" w:space="8" w:color="1F3D2B"/>
        </w:pBdr>
        <w:shd w:val="clear" w:color="auto" w:fill="F2F2F2"/>
        <w:spacing w:before="0" w:after="160"/>
        <w:ind w:left="120"/>
      </w:pPr>
      <w:r>
        <w:rPr>
          <w:b/>
          <w:sz w:val="19"/>
        </w:rPr>
        <w:t xml:space="preserve">Rent control or caps in Arizona: </w:t>
      </w:r>
      <w:r>
        <w:rPr>
          <w:sz w:val="19"/>
        </w:rPr>
        <w:t xml:space="preserve">Cities, including charter cities, and towns have no power to control rent on private residential property. (A.R.S. section 33-1329)</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Rent Increase Letter</dc:title>
  <dc:creator>TenantLoop</dc:creator>
</cp:coreProperties>
</file>