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Month-to-Month Rental Agreement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Arizona.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Arizona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Arizona: </w:t>
      </w:r>
      <w:r>
        <w:rPr>
          <w:sz w:val="19"/>
        </w:rPr>
        <w:t xml:space="preserve">Either side ends a month to month tenancy with written notice at least 30 days before the next rent due date. (A.R.S. section 33-1375)</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Arizona: </w:t>
      </w:r>
      <w:r>
        <w:rPr>
          <w:sz w:val="19"/>
        </w:rPr>
        <w:t xml:space="preserve">Only a reasonable late fee written into the rental agreement can be collected. (A.R.S. section 33-1368)</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Arizona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Arizona)</w:t>
      </w:r>
    </w:p>
    <w:p>
      <w:pPr>
        <w:pBdr>
          <w:left w:val="single" w:sz="18" w:space="8" w:color="1F3D2B"/>
        </w:pBdr>
        <w:shd w:val="clear" w:color="auto" w:fill="F2F2F2"/>
        <w:spacing w:before="0" w:after="160"/>
        <w:ind w:left="120"/>
      </w:pPr>
      <w:r>
        <w:rPr>
          <w:b/>
          <w:sz w:val="19"/>
        </w:rPr>
        <w:t xml:space="preserve">Rent control in Arizona: </w:t>
      </w:r>
      <w:r>
        <w:rPr>
          <w:sz w:val="19"/>
        </w:rPr>
        <w:t xml:space="preserve">Cities, including charter cities, and towns have no power to control rent on private residential property. (A.R.S. section 33-1329)</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Arizona law.</w:t>
      </w:r>
    </w:p>
    <w:p>
      <w:pPr>
        <w:pBdr>
          <w:left w:val="single" w:sz="18" w:space="8" w:color="1F3D2B"/>
        </w:pBdr>
        <w:shd w:val="clear" w:color="auto" w:fill="F2F2F2"/>
        <w:spacing w:before="0" w:after="160"/>
        <w:ind w:left="120"/>
      </w:pPr>
      <w:r>
        <w:rPr>
          <w:b/>
          <w:sz w:val="19"/>
        </w:rPr>
        <w:t xml:space="preserve">Deposit limit in Arizona: </w:t>
      </w:r>
      <w:r>
        <w:rPr>
          <w:sz w:val="19"/>
        </w:rPr>
        <w:t xml:space="preserve">A landlord may not require security, including prepaid rent, above one and a half months of rent, although a tenant may choose to prepay more. (A.R.S. section 33-1321)</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Arizona law requires, and at any time in an emergency.</w:t>
      </w:r>
    </w:p>
    <w:p>
      <w:pPr>
        <w:pBdr>
          <w:left w:val="single" w:sz="18" w:space="8" w:color="1F3D2B"/>
        </w:pBdr>
        <w:shd w:val="clear" w:color="auto" w:fill="F2F2F2"/>
        <w:spacing w:before="0" w:after="160"/>
        <w:ind w:left="120"/>
      </w:pPr>
      <w:r>
        <w:rPr>
          <w:b/>
          <w:sz w:val="19"/>
        </w:rPr>
        <w:t xml:space="preserve">Entry notice in Arizona: </w:t>
      </w:r>
      <w:r>
        <w:rPr>
          <w:sz w:val="19"/>
        </w:rPr>
        <w:t xml:space="preserve">The landlord must give at least two days of notice and enter at reasonable times, except in an emergency; a tenant's repair request counts as permission to enter for that repair. (A.R.S. section 33-1343)</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Arizona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Arizona: </w:t>
      </w:r>
      <w:r>
        <w:rPr>
          <w:sz w:val="19"/>
        </w:rPr>
        <w:t xml:space="preserve">For unpaid rent, the landlord gives a written notice allowing five calendar days to pay before filing a special detainer case. (A.R.S. section 33-1368)</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Arizona: </w:t>
      </w:r>
      <w:r>
        <w:rPr>
          <w:sz w:val="19"/>
        </w:rPr>
        <w:t xml:space="preserve">Homes built before 1978 need the federal lead-based paint disclosure and the EPA pamphlet. (Residential Lead-Based Paint Hazard Reduction Act (42 U.S.C. 4852d)) At move in, the landlord gives a signed copy of the lease, a move in form for listing existing damage and written notice that the tenant may attend the move out inspection. (A.R.S. section 33-1321)</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Month-to-Month Rental Agreement</dc:title>
  <dc:creator>TenantLoop</dc:creator>
</cp:coreProperties>
</file>