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30 or 60 Day Notice to End Tenancy</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Arizona: </w:t>
      </w:r>
      <w:r>
        <w:rPr>
          <w:sz w:val="19"/>
        </w:rPr>
        <w:t xml:space="preserve">Either side ends a month to month tenancy with written notice at least 30 days before the next rent due date. (A.R.S. section 33-1375)</w:t>
      </w:r>
    </w:p>
    <w:p>
      <w:pPr>
        <w:pBdr>
          <w:left w:val="single" w:sz="18" w:space="8" w:color="1F3D2B"/>
        </w:pBdr>
        <w:shd w:val="clear" w:color="auto" w:fill="F2F2F2"/>
        <w:spacing w:before="0" w:after="160"/>
        <w:ind w:left="120"/>
      </w:pPr>
      <w:r>
        <w:rPr>
          <w:b/>
          <w:sz w:val="19"/>
        </w:rPr>
        <w:t xml:space="preserve">Local just cause rules in Arizona: </w:t>
      </w:r>
      <w:r>
        <w:rPr>
          <w:sz w:val="19"/>
        </w:rPr>
        <w:t xml:space="preserve">Starting December 31, 2024, cities, towns and other local taxing bodies may not levy a transaction privilege or similar tax on residential rent. (A.R.S. section 42-6004)</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Arizona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Arizona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Arizona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30 or 60 Day Notice to End Tenancy</dc:title>
  <dc:creator>TenantLoop</dc:creator>
</cp:coreProperties>
</file>